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dobe Caslon Pro" w:cs="Adobe Caslon Pro" w:hAnsi="Adobe Caslon Pro" w:eastAsia="Adobe Caslon Pro"/>
        </w:rPr>
      </w:pPr>
      <w:r>
        <w:rPr>
          <w:rFonts w:ascii="Adobe Caslon Pro"/>
          <w:sz w:val="22"/>
          <w:szCs w:val="22"/>
          <w:rtl w:val="0"/>
          <w:lang w:val="en-US"/>
        </w:rPr>
        <w:t xml:space="preserve">ACCA Meeting, Thursday, </w:t>
      </w:r>
      <w:r>
        <w:rPr>
          <w:rFonts w:ascii="Adobe Caslon Pro"/>
          <w:sz w:val="22"/>
          <w:szCs w:val="22"/>
          <w:rtl w:val="0"/>
          <w:lang w:val="en-US"/>
        </w:rPr>
        <w:t>June 11</w:t>
      </w:r>
      <w:r>
        <w:rPr>
          <w:rFonts w:ascii="Adobe Caslon Pro"/>
          <w:sz w:val="22"/>
          <w:szCs w:val="22"/>
          <w:rtl w:val="0"/>
          <w:lang w:val="en-US"/>
        </w:rPr>
        <w:t>, 2015</w:t>
      </w:r>
    </w:p>
    <w:p>
      <w:pPr>
        <w:pStyle w:val="Body A"/>
        <w:jc w:val="center"/>
        <w:rPr>
          <w:rFonts w:ascii="Adobe Caslon Pro" w:cs="Adobe Caslon Pro" w:hAnsi="Adobe Caslon Pro" w:eastAsia="Adobe Caslon Pro"/>
        </w:rPr>
      </w:pPr>
      <w:r>
        <w:rPr>
          <w:rFonts w:ascii="Adobe Caslon Pro"/>
          <w:sz w:val="22"/>
          <w:szCs w:val="22"/>
          <w:rtl w:val="0"/>
          <w:lang w:val="en-US"/>
        </w:rPr>
        <w:t xml:space="preserve">8:30 a.m. at the </w:t>
      </w:r>
      <w:r>
        <w:rPr>
          <w:rFonts w:ascii="Adobe Caslon Pro"/>
          <w:sz w:val="22"/>
          <w:szCs w:val="22"/>
          <w:rtl w:val="0"/>
          <w:lang w:val="en-US"/>
        </w:rPr>
        <w:t>Plattsburgh State Art</w:t>
      </w:r>
      <w:r>
        <w:rPr>
          <w:rFonts w:ascii="Adobe Caslon Pro"/>
          <w:sz w:val="22"/>
          <w:szCs w:val="22"/>
          <w:rtl w:val="0"/>
          <w:lang w:val="en-US"/>
        </w:rPr>
        <w:t xml:space="preserve"> Museum</w:t>
      </w:r>
    </w:p>
    <w:p>
      <w:pPr>
        <w:pStyle w:val="Body A"/>
        <w:jc w:val="center"/>
        <w:rPr>
          <w:rFonts w:ascii="Adobe Caslon Pro" w:cs="Adobe Caslon Pro" w:hAnsi="Adobe Caslon Pro" w:eastAsia="Adobe Caslon Pro"/>
        </w:rPr>
      </w:pPr>
    </w:p>
    <w:p>
      <w:pPr>
        <w:pStyle w:val="Body A"/>
        <w:jc w:val="center"/>
        <w:rPr>
          <w:rFonts w:ascii="Adobe Caslon Pro" w:cs="Adobe Caslon Pro" w:hAnsi="Adobe Caslon Pro" w:eastAsia="Adobe Caslon Pro"/>
        </w:rPr>
      </w:pPr>
      <w:r>
        <w:rPr>
          <w:rFonts w:ascii="Adobe Caslon Pro"/>
          <w:sz w:val="22"/>
          <w:szCs w:val="22"/>
          <w:rtl w:val="0"/>
          <w:lang w:val="en-US"/>
        </w:rPr>
        <w:t>AGENDA</w:t>
      </w:r>
    </w:p>
    <w:p>
      <w:pPr>
        <w:pStyle w:val="Body A"/>
        <w:jc w:val="center"/>
        <w:rPr>
          <w:rFonts w:ascii="Adobe Caslon Pro" w:cs="Adobe Caslon Pro" w:hAnsi="Adobe Caslon Pro" w:eastAsia="Adobe Caslon Pro"/>
        </w:rPr>
      </w:pPr>
    </w:p>
    <w:p>
      <w:pPr>
        <w:pStyle w:val="Body A"/>
        <w:jc w:val="center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3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Sign in/Introductions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6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Secretary</w:t>
      </w:r>
      <w:r>
        <w:rPr>
          <w:rFonts w:hAnsi="Adobe Caslon Pro" w:hint="default"/>
          <w:sz w:val="22"/>
          <w:szCs w:val="22"/>
          <w:rtl w:val="0"/>
          <w:lang w:val="en-US"/>
        </w:rPr>
        <w:t>’</w:t>
      </w:r>
      <w:r>
        <w:rPr>
          <w:rFonts w:ascii="Adobe Caslon Pro"/>
          <w:sz w:val="22"/>
          <w:szCs w:val="22"/>
          <w:rtl w:val="0"/>
          <w:lang w:val="en-US"/>
        </w:rPr>
        <w:t>s Report and approval of minutes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9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Financial Report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12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Coordinator</w:t>
      </w:r>
      <w:r>
        <w:rPr>
          <w:rFonts w:hAnsi="Adobe Caslon Pro" w:hint="default"/>
          <w:sz w:val="22"/>
          <w:szCs w:val="22"/>
          <w:rtl w:val="0"/>
          <w:lang w:val="en-US"/>
        </w:rPr>
        <w:t>’</w:t>
      </w:r>
      <w:r>
        <w:rPr>
          <w:rFonts w:ascii="Adobe Caslon Pro"/>
          <w:sz w:val="22"/>
          <w:szCs w:val="22"/>
          <w:rtl w:val="0"/>
          <w:lang w:val="en-US"/>
        </w:rPr>
        <w:t>s Report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15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Old Business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  <w:sz w:val="22"/>
          <w:szCs w:val="22"/>
          <w:rtl w:val="0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</w:r>
      <w:r>
        <w:rPr>
          <w:rFonts w:ascii="Adobe Caslon Pro"/>
          <w:sz w:val="22"/>
          <w:szCs w:val="22"/>
          <w:rtl w:val="0"/>
          <w:lang w:val="en-US"/>
        </w:rPr>
        <w:t>Museum Weekend: Reports from museums, thoughts on changes for next year?</w:t>
      </w:r>
    </w:p>
    <w:p>
      <w:pPr>
        <w:pStyle w:val="Body A"/>
        <w:rPr>
          <w:rFonts w:ascii="Adobe Caslon Pro" w:cs="Adobe Caslon Pro" w:hAnsi="Adobe Caslon Pro" w:eastAsia="Adobe Caslon Pro"/>
          <w:sz w:val="22"/>
          <w:szCs w:val="22"/>
          <w:rtl w:val="0"/>
        </w:rPr>
      </w:pPr>
    </w:p>
    <w:p>
      <w:pPr>
        <w:pStyle w:val="Body A"/>
        <w:rPr>
          <w:rFonts w:ascii="Adobe Caslon Pro" w:cs="Adobe Caslon Pro" w:hAnsi="Adobe Caslon Pro" w:eastAsia="Adobe Caslon Pro"/>
          <w:sz w:val="22"/>
          <w:szCs w:val="22"/>
          <w:rtl w:val="0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  <w:t>Museum column in Lake Champlain Weekly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  <w:t>NEH Grant for Community Heritage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  <w:t>Mayor</w:t>
      </w:r>
      <w:r>
        <w:rPr>
          <w:rFonts w:hAnsi="Adobe Caslon Pro" w:hint="default"/>
          <w:sz w:val="22"/>
          <w:szCs w:val="22"/>
          <w:rtl w:val="0"/>
          <w:lang w:val="en-US"/>
        </w:rPr>
        <w:t>’</w:t>
      </w:r>
      <w:r>
        <w:rPr>
          <w:rFonts w:ascii="Adobe Caslon Pro"/>
          <w:sz w:val="22"/>
          <w:szCs w:val="22"/>
          <w:rtl w:val="0"/>
          <w:lang w:val="en-US"/>
        </w:rPr>
        <w:t>s Cup Weekend (July 10-11):</w:t>
      </w: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  <w:t>ACCA participation? Volunteer(s) to coordinate opening of monument?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18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New Business</w:t>
      </w: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rtl w:val="0"/>
        </w:rPr>
        <w:tab/>
      </w:r>
    </w:p>
    <w:p>
      <w:pPr>
        <w:pStyle w:val="Body A"/>
        <w:rPr>
          <w:rFonts w:ascii="Adobe Caslon Pro" w:cs="Adobe Caslon Pro" w:hAnsi="Adobe Caslon Pro" w:eastAsia="Adobe Caslon Pro"/>
          <w:sz w:val="22"/>
          <w:szCs w:val="22"/>
          <w:rtl w:val="0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</w:r>
      <w:r>
        <w:rPr>
          <w:rFonts w:ascii="Adobe Caslon Pro"/>
          <w:sz w:val="22"/>
          <w:szCs w:val="22"/>
          <w:rtl w:val="0"/>
          <w:lang w:val="en-US"/>
        </w:rPr>
        <w:t>Museum Trail (Geri Favreau)</w:t>
      </w:r>
    </w:p>
    <w:p>
      <w:pPr>
        <w:pStyle w:val="Body A"/>
        <w:rPr>
          <w:rFonts w:ascii="Adobe Caslon Pro" w:cs="Adobe Caslon Pro" w:hAnsi="Adobe Caslon Pro" w:eastAsia="Adobe Caslon Pro"/>
          <w:sz w:val="22"/>
          <w:szCs w:val="22"/>
          <w:rtl w:val="0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  <w:t>Nonprofit Boards (Rick Laurin): New state regulations and other things you should know</w:t>
      </w: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cs="Adobe Caslon Pro" w:hAnsi="Adobe Caslon Pro" w:eastAsia="Adobe Caslon Pro"/>
          <w:sz w:val="22"/>
          <w:szCs w:val="22"/>
          <w:rtl w:val="0"/>
        </w:rPr>
        <w:tab/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numPr>
          <w:ilvl w:val="0"/>
          <w:numId w:val="21"/>
        </w:numPr>
        <w:bidi w:val="0"/>
        <w:ind w:left="180" w:right="0" w:hanging="180"/>
        <w:jc w:val="left"/>
        <w:rPr>
          <w:rFonts w:ascii="Adobe Caslon Pro" w:cs="Adobe Caslon Pro" w:hAnsi="Adobe Caslon Pro" w:eastAsia="Adobe Caslon Pro"/>
          <w:position w:val="0"/>
          <w:sz w:val="22"/>
          <w:szCs w:val="22"/>
          <w:rtl w:val="0"/>
        </w:rPr>
      </w:pPr>
      <w:r>
        <w:rPr>
          <w:rFonts w:ascii="Adobe Caslon Pro"/>
          <w:sz w:val="22"/>
          <w:szCs w:val="22"/>
          <w:rtl w:val="0"/>
          <w:lang w:val="en-US"/>
        </w:rPr>
        <w:t>Museum Reports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</w:pPr>
      <w:r>
        <w:rPr>
          <w:rFonts w:ascii="Adobe Caslon Pro"/>
          <w:i w:val="1"/>
          <w:iCs w:val="1"/>
          <w:sz w:val="22"/>
          <w:szCs w:val="22"/>
          <w:rtl w:val="0"/>
          <w:lang w:val="en-US"/>
        </w:rPr>
        <w:t>Upcoming dates: Rulf</w:t>
      </w:r>
      <w:r>
        <w:rPr>
          <w:rFonts w:hAnsi="Adobe Caslon Pro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dobe Caslon Pro"/>
          <w:i w:val="1"/>
          <w:iCs w:val="1"/>
          <w:sz w:val="22"/>
          <w:szCs w:val="22"/>
          <w:rtl w:val="0"/>
          <w:lang w:val="en-US"/>
        </w:rPr>
        <w:t>s Strawberry Festival (June 20</w:t>
      </w:r>
      <w:r>
        <w:rPr>
          <w:rFonts w:ascii="Adobe Caslon Pro"/>
          <w:sz w:val="22"/>
          <w:szCs w:val="22"/>
          <w:rtl w:val="0"/>
          <w:lang w:val="en-US"/>
        </w:rPr>
        <w:t>)</w:t>
      </w:r>
      <w:r>
        <w:rPr>
          <w:rFonts w:ascii="Adobe Caslon Pro"/>
          <w:i w:val="1"/>
          <w:iCs w:val="1"/>
          <w:rtl w:val="0"/>
          <w:lang w:val="en-US"/>
        </w:rPr>
        <w:t>, Path Through History Weekend (June 20-21), Mayor</w:t>
      </w:r>
      <w:r>
        <w:rPr>
          <w:rFonts w:hAnsi="Adobe Caslon Pro" w:hint="default"/>
          <w:i w:val="1"/>
          <w:iCs w:val="1"/>
          <w:rtl w:val="0"/>
          <w:lang w:val="en-US"/>
        </w:rPr>
        <w:t>’</w:t>
      </w:r>
      <w:r>
        <w:rPr>
          <w:rFonts w:ascii="Adobe Caslon Pro"/>
          <w:i w:val="1"/>
          <w:iCs w:val="1"/>
          <w:rtl w:val="0"/>
          <w:lang w:val="en-US"/>
        </w:rPr>
        <w:t>s Cup (July 9-12)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Casl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dobe Caslon Pro" w:cs="Adobe Caslon Pro" w:hAnsi="Adobe Caslon Pro" w:eastAsia="Adobe Caslon Pro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